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4F" w:rsidRPr="00A17C4F" w:rsidRDefault="00A17C4F" w:rsidP="00A17C4F">
      <w:pPr>
        <w:pStyle w:val="Corpodeltesto"/>
        <w:jc w:val="center"/>
        <w:rPr>
          <w:b/>
          <w:bCs/>
          <w:sz w:val="32"/>
        </w:rPr>
      </w:pPr>
      <w:r w:rsidRPr="00A17C4F">
        <w:rPr>
          <w:b/>
          <w:bCs/>
          <w:sz w:val="32"/>
        </w:rPr>
        <w:t>Box-Plot in Excel</w:t>
      </w:r>
    </w:p>
    <w:p w:rsidR="00A17C4F" w:rsidRPr="00A17C4F" w:rsidRDefault="00A17C4F" w:rsidP="00A17C4F">
      <w:pPr>
        <w:pStyle w:val="Corpodeltesto"/>
        <w:jc w:val="center"/>
        <w:rPr>
          <w:b/>
          <w:bCs/>
          <w:sz w:val="32"/>
        </w:rPr>
      </w:pPr>
    </w:p>
    <w:p w:rsidR="00A17C4F" w:rsidRDefault="00A17C4F" w:rsidP="00A17C4F">
      <w:pPr>
        <w:pStyle w:val="Corpodeltesto"/>
        <w:jc w:val="center"/>
      </w:pPr>
      <w:r>
        <w:t>Gianfranco Galmacci</w:t>
      </w:r>
    </w:p>
    <w:p w:rsidR="00A17C4F" w:rsidRDefault="00A17C4F" w:rsidP="00A17C4F">
      <w:pPr>
        <w:pStyle w:val="Corpodeltesto"/>
        <w:jc w:val="center"/>
      </w:pPr>
      <w:r>
        <w:t>CIRDIS - Perugia</w:t>
      </w:r>
    </w:p>
    <w:p w:rsidR="00A17C4F" w:rsidRPr="00A17C4F" w:rsidRDefault="00A17C4F" w:rsidP="00A17C4F">
      <w:pPr>
        <w:pStyle w:val="Corpodeltesto"/>
        <w:rPr>
          <w:b/>
          <w:bCs/>
          <w:sz w:val="32"/>
        </w:rPr>
      </w:pPr>
      <w:r w:rsidRPr="00A17C4F">
        <w:rPr>
          <w:b/>
          <w:bCs/>
          <w:sz w:val="32"/>
        </w:rPr>
        <w:t>http://cirdis.stat.unipg.it/files/Sperimentazione/Box-Plot-in-Excel.html</w:t>
      </w:r>
    </w:p>
    <w:p w:rsidR="00A17C4F" w:rsidRDefault="00A17C4F" w:rsidP="00A17C4F">
      <w:pPr>
        <w:pStyle w:val="Corpodeltesto"/>
        <w:rPr>
          <w:b/>
          <w:bCs/>
          <w:sz w:val="32"/>
        </w:rPr>
      </w:pPr>
    </w:p>
    <w:p w:rsidR="00A17C4F" w:rsidRDefault="00A17C4F" w:rsidP="00A17C4F">
      <w:pPr>
        <w:pStyle w:val="Corpodeltesto"/>
        <w:rPr>
          <w:b/>
          <w:bCs/>
          <w:sz w:val="28"/>
        </w:rPr>
      </w:pPr>
      <w:r>
        <w:rPr>
          <w:b/>
          <w:bCs/>
          <w:sz w:val="28"/>
        </w:rPr>
        <w:t>Premessa</w:t>
      </w:r>
    </w:p>
    <w:p w:rsidR="00A17C4F" w:rsidRDefault="00A17C4F" w:rsidP="00A17C4F">
      <w:pPr>
        <w:pStyle w:val="Corpodeltesto"/>
        <w:rPr>
          <w:b/>
          <w:bCs/>
          <w:sz w:val="32"/>
        </w:rPr>
      </w:pPr>
    </w:p>
    <w:p w:rsidR="00A17C4F" w:rsidRDefault="00A17C4F" w:rsidP="00A17C4F">
      <w:pPr>
        <w:pStyle w:val="Corpodeltesto"/>
      </w:pPr>
      <w:r>
        <w:t xml:space="preserve">In questa nota viene descritto un procedimento per creare box-plot in Excel, utilizzabile per le versioni Excel 97 e 2000. Il metodo qui illustrato è una semplice rielaborazione del procedimento suggerito da Neville Hunt (si veda la pagina </w:t>
      </w:r>
      <w:hyperlink r:id="rId5" w:history="1">
        <w:r>
          <w:rPr>
            <w:rStyle w:val="Collegamentoipertestuale"/>
          </w:rPr>
          <w:t>http://www.mis.coventry.ac.uk/~nhunt/boxplot.htm</w:t>
        </w:r>
      </w:hyperlink>
      <w:r>
        <w:t xml:space="preserve">) </w:t>
      </w:r>
    </w:p>
    <w:p w:rsidR="00A17C4F" w:rsidRDefault="00A17C4F" w:rsidP="00A17C4F">
      <w:pPr>
        <w:pStyle w:val="Corpodeltesto"/>
      </w:pPr>
    </w:p>
    <w:p w:rsidR="00A17C4F" w:rsidRDefault="00A17C4F" w:rsidP="00A17C4F">
      <w:pPr>
        <w:pStyle w:val="Corpodeltesto"/>
      </w:pPr>
    </w:p>
    <w:p w:rsidR="00A17C4F" w:rsidRDefault="00A17C4F" w:rsidP="00A17C4F">
      <w:pPr>
        <w:pStyle w:val="Corpodeltesto"/>
        <w:rPr>
          <w:b/>
          <w:bCs/>
          <w:sz w:val="28"/>
        </w:rPr>
      </w:pPr>
      <w:r>
        <w:rPr>
          <w:b/>
          <w:bCs/>
          <w:sz w:val="28"/>
        </w:rPr>
        <w:t>Descrizione della procedura</w:t>
      </w:r>
    </w:p>
    <w:p w:rsidR="00A17C4F" w:rsidRDefault="00A17C4F" w:rsidP="00A17C4F">
      <w:pPr>
        <w:pStyle w:val="Corpodeltesto"/>
      </w:pPr>
    </w:p>
    <w:p w:rsidR="00A17C4F" w:rsidRDefault="00A17C4F" w:rsidP="00A17C4F">
      <w:pPr>
        <w:pStyle w:val="Corpodeltesto"/>
      </w:pPr>
      <w:r>
        <w:t>Si considerino i seguenti dati relativi all’età di individui appartenenti a tre collettivi diversi C1, C2 e C3 (il fatto che i tre collettivi dell’esempio abbiano la stessa numerosità è solo una semplificazione e non un vincolo per la procedura che verrà descritta):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tbl>
      <w:tblPr>
        <w:tblW w:w="2880" w:type="dxa"/>
        <w:tblInd w:w="3540" w:type="dxa"/>
        <w:tblCellMar>
          <w:left w:w="0" w:type="dxa"/>
          <w:right w:w="0" w:type="dxa"/>
        </w:tblCellMar>
        <w:tblLook w:val="0000"/>
      </w:tblPr>
      <w:tblGrid>
        <w:gridCol w:w="960"/>
        <w:gridCol w:w="960"/>
        <w:gridCol w:w="960"/>
      </w:tblGrid>
      <w:tr w:rsidR="00A17C4F">
        <w:trPr>
          <w:trHeight w:val="255"/>
        </w:trPr>
        <w:tc>
          <w:tcPr>
            <w:tcW w:w="2880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Età compiuta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</w:t>
            </w:r>
          </w:p>
        </w:tc>
      </w:tr>
      <w:tr w:rsidR="00A17C4F">
        <w:tc>
          <w:tcPr>
            <w:tcW w:w="0" w:type="auto"/>
            <w:vAlign w:val="center"/>
          </w:tcPr>
          <w:p w:rsidR="00A17C4F" w:rsidRDefault="00A17C4F"/>
        </w:tc>
        <w:tc>
          <w:tcPr>
            <w:tcW w:w="0" w:type="auto"/>
            <w:vAlign w:val="center"/>
          </w:tcPr>
          <w:p w:rsidR="00A17C4F" w:rsidRDefault="00A17C4F"/>
        </w:tc>
        <w:tc>
          <w:tcPr>
            <w:tcW w:w="0" w:type="auto"/>
            <w:vAlign w:val="center"/>
          </w:tcPr>
          <w:p w:rsidR="00A17C4F" w:rsidRDefault="00A17C4F"/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17C4F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7C4F" w:rsidRDefault="00A17C4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</w:tbl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  <w:r>
        <w:t>Si costruisca una tabella contenente i valori del primo e terzo quartile, della mediana e dei valori minimi e massimi di ciascuna distribuzione come mostrato in fig. 1.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8A0217" w:rsidP="00A17C4F">
      <w:pPr>
        <w:jc w:val="both"/>
      </w:pPr>
      <w:r>
        <w:rPr>
          <w:noProof/>
        </w:rPr>
        <w:drawing>
          <wp:inline distT="0" distB="0" distL="0" distR="0">
            <wp:extent cx="6115050" cy="4533900"/>
            <wp:effectExtent l="19050" t="0" r="0" b="0"/>
            <wp:docPr id="1" name="Immagine 1" descr="fi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both"/>
      </w:pPr>
    </w:p>
    <w:p w:rsidR="00A17C4F" w:rsidRDefault="00A17C4F" w:rsidP="00A17C4F">
      <w:pPr>
        <w:pStyle w:val="Titolo1"/>
      </w:pPr>
      <w:r>
        <w:t>Figura 1 – Dati e tabella con gli indicatori necessari per costruire i Box-plot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  <w:r>
        <w:t>I dati mostrati nella tabella possono essere facilmente calcolati con le funzioni disponibili in Excel, rispettando l’ordine qui indicato; ad esempio, per il gruppo C1 possono essere usate le seguenti funzioni:</w:t>
      </w:r>
    </w:p>
    <w:p w:rsidR="00A17C4F" w:rsidRDefault="00A17C4F" w:rsidP="00A17C4F">
      <w:pPr>
        <w:jc w:val="both"/>
      </w:pPr>
    </w:p>
    <w:p w:rsidR="00A17C4F" w:rsidRDefault="00A17C4F" w:rsidP="00A17C4F">
      <w:pPr>
        <w:numPr>
          <w:ilvl w:val="0"/>
          <w:numId w:val="1"/>
        </w:numPr>
        <w:jc w:val="both"/>
      </w:pPr>
      <w:r>
        <w:t xml:space="preserve">q1     </w:t>
      </w:r>
      <w:r>
        <w:tab/>
      </w:r>
      <w:r>
        <w:tab/>
        <w:t xml:space="preserve">=QUARTILE(A3:A27;1) </w:t>
      </w:r>
    </w:p>
    <w:p w:rsidR="00A17C4F" w:rsidRDefault="00A17C4F" w:rsidP="00A17C4F">
      <w:pPr>
        <w:numPr>
          <w:ilvl w:val="0"/>
          <w:numId w:val="1"/>
        </w:numPr>
        <w:jc w:val="both"/>
      </w:pPr>
      <w:r>
        <w:t>min</w:t>
      </w:r>
      <w:r>
        <w:tab/>
      </w:r>
      <w:r>
        <w:tab/>
        <w:t xml:space="preserve">=MIN.VALORI(A3:A27) </w:t>
      </w:r>
    </w:p>
    <w:p w:rsidR="00A17C4F" w:rsidRDefault="00A17C4F" w:rsidP="00A17C4F">
      <w:pPr>
        <w:numPr>
          <w:ilvl w:val="0"/>
          <w:numId w:val="1"/>
        </w:numPr>
        <w:jc w:val="both"/>
      </w:pPr>
      <w:r>
        <w:t>mediana</w:t>
      </w:r>
      <w:r>
        <w:tab/>
        <w:t xml:space="preserve">=MEDIANA(A3:A27) </w:t>
      </w:r>
    </w:p>
    <w:p w:rsidR="00A17C4F" w:rsidRDefault="00A17C4F" w:rsidP="00A17C4F">
      <w:pPr>
        <w:numPr>
          <w:ilvl w:val="0"/>
          <w:numId w:val="1"/>
        </w:numPr>
        <w:jc w:val="both"/>
      </w:pPr>
      <w:r>
        <w:t>max</w:t>
      </w:r>
      <w:r>
        <w:tab/>
      </w:r>
      <w:r>
        <w:tab/>
        <w:t xml:space="preserve">=MAX.VALORI(A3:A27) </w:t>
      </w:r>
    </w:p>
    <w:p w:rsidR="00A17C4F" w:rsidRDefault="00A17C4F" w:rsidP="00A17C4F">
      <w:pPr>
        <w:numPr>
          <w:ilvl w:val="0"/>
          <w:numId w:val="1"/>
        </w:numPr>
        <w:jc w:val="both"/>
      </w:pPr>
      <w:r>
        <w:t>q3</w:t>
      </w:r>
      <w:r>
        <w:tab/>
      </w:r>
      <w:r>
        <w:tab/>
        <w:t xml:space="preserve">=QUARTILE(A3:A27;3) </w:t>
      </w:r>
    </w:p>
    <w:p w:rsidR="00A17C4F" w:rsidRDefault="00A17C4F" w:rsidP="00A17C4F">
      <w:pPr>
        <w:ind w:left="360"/>
        <w:jc w:val="both"/>
      </w:pPr>
    </w:p>
    <w:p w:rsidR="00A17C4F" w:rsidRDefault="00A17C4F" w:rsidP="00A17C4F">
      <w:pPr>
        <w:jc w:val="both"/>
      </w:pPr>
      <w:r>
        <w:t xml:space="preserve">Selezionare quindi l’intera tabella come mostrato in fig. 2, escludendo solo le intestazioni C1, C2 e C3, ed attivare la procedura per </w:t>
      </w:r>
      <w:smartTag w:uri="urn:schemas-microsoft-com:office:smarttags" w:element="PersonName">
        <w:smartTagPr>
          <w:attr w:name="ProductID" w:val="la Creazione"/>
        </w:smartTagPr>
        <w:r>
          <w:t xml:space="preserve">la </w:t>
        </w:r>
        <w:r>
          <w:rPr>
            <w:i/>
            <w:iCs/>
          </w:rPr>
          <w:t>Creazione</w:t>
        </w:r>
      </w:smartTag>
      <w:r>
        <w:rPr>
          <w:i/>
          <w:iCs/>
        </w:rPr>
        <w:t xml:space="preserve"> guidata grafico</w:t>
      </w:r>
      <w:r>
        <w:t xml:space="preserve"> scegliendo il tipo di grafico </w:t>
      </w:r>
      <w:r>
        <w:rPr>
          <w:i/>
          <w:iCs/>
        </w:rPr>
        <w:t>linee</w:t>
      </w:r>
      <w:r>
        <w:t xml:space="preserve"> e quindi, procedendo con il tasto “AVANTI&gt;”, selezionare </w:t>
      </w:r>
      <w:r>
        <w:rPr>
          <w:i/>
          <w:iCs/>
        </w:rPr>
        <w:t>serie in righe</w:t>
      </w:r>
      <w:r>
        <w:t xml:space="preserve"> (fig. 3, si noti che Excel è predisposto per considerare i dati per colonna) e terminare la procedura con il tasto “FINE”.</w:t>
      </w:r>
    </w:p>
    <w:p w:rsidR="00A17C4F" w:rsidRDefault="00A17C4F" w:rsidP="00A17C4F">
      <w:pPr>
        <w:jc w:val="both"/>
      </w:pPr>
      <w:r>
        <w:t> </w:t>
      </w:r>
    </w:p>
    <w:p w:rsidR="00A17C4F" w:rsidRDefault="008A0217" w:rsidP="00A17C4F">
      <w:r>
        <w:rPr>
          <w:noProof/>
        </w:rPr>
        <w:lastRenderedPageBreak/>
        <w:drawing>
          <wp:inline distT="0" distB="0" distL="0" distR="0">
            <wp:extent cx="6115050" cy="5410200"/>
            <wp:effectExtent l="19050" t="0" r="0" b="0"/>
            <wp:docPr id="2" name="Immagine 2" descr="f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both"/>
      </w:pPr>
    </w:p>
    <w:p w:rsidR="00A17C4F" w:rsidRDefault="00A17C4F" w:rsidP="00A17C4F">
      <w:pPr>
        <w:jc w:val="center"/>
      </w:pPr>
      <w:r>
        <w:t>Figura 2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8A0217" w:rsidP="00A17C4F">
      <w:pPr>
        <w:jc w:val="center"/>
      </w:pPr>
      <w:r>
        <w:rPr>
          <w:noProof/>
        </w:rPr>
        <w:lastRenderedPageBreak/>
        <w:drawing>
          <wp:inline distT="0" distB="0" distL="0" distR="0">
            <wp:extent cx="3943350" cy="4410075"/>
            <wp:effectExtent l="19050" t="0" r="0" b="0"/>
            <wp:docPr id="3" name="Immagine 3" descr="fi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center"/>
      </w:pPr>
      <w:r>
        <w:t>Figura 3</w:t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both"/>
      </w:pPr>
      <w:r>
        <w:t xml:space="preserve">Nel grafico così organizzato, i valori massimi e minimi, i quartili e le mediane sono connessi mediante linee, che però non hanno alcun interesse ai fini dei box-plot. Sarà necessario quindi rimuovere queste linee: a tal fine, per ciascuna di esse, è necessario selezionare la linea (fig. 4) e quindi scegliere </w:t>
      </w:r>
      <w:r>
        <w:rPr>
          <w:i/>
          <w:iCs/>
        </w:rPr>
        <w:t>Serie dei dati selezionati…</w:t>
      </w:r>
      <w:r>
        <w:t xml:space="preserve"> dal menu </w:t>
      </w:r>
      <w:r>
        <w:rPr>
          <w:i/>
          <w:iCs/>
        </w:rPr>
        <w:t>Formato</w:t>
      </w:r>
      <w:r>
        <w:t xml:space="preserve"> e, nel quadro </w:t>
      </w:r>
      <w:r>
        <w:rPr>
          <w:i/>
          <w:iCs/>
        </w:rPr>
        <w:t>Motivo</w:t>
      </w:r>
      <w:r>
        <w:t xml:space="preserve">, attivare l’opzione </w:t>
      </w:r>
      <w:r>
        <w:rPr>
          <w:i/>
          <w:iCs/>
        </w:rPr>
        <w:t>Linea</w:t>
      </w:r>
      <w:r>
        <w:t xml:space="preserve"> – </w:t>
      </w:r>
      <w:r>
        <w:rPr>
          <w:i/>
          <w:iCs/>
        </w:rPr>
        <w:t>Assente</w:t>
      </w:r>
      <w:r>
        <w:t xml:space="preserve"> (fig. 5); infine nel quadro </w:t>
      </w:r>
      <w:r>
        <w:rPr>
          <w:i/>
          <w:iCs/>
        </w:rPr>
        <w:t>Opzioni</w:t>
      </w:r>
      <w:r>
        <w:t xml:space="preserve">, selezionare le due voci </w:t>
      </w:r>
      <w:r>
        <w:rPr>
          <w:i/>
          <w:iCs/>
        </w:rPr>
        <w:t>Linee di Min-Max</w:t>
      </w:r>
      <w:r>
        <w:t xml:space="preserve"> e </w:t>
      </w:r>
      <w:r>
        <w:rPr>
          <w:i/>
          <w:iCs/>
        </w:rPr>
        <w:t>Barre cresc.-decresc.</w:t>
      </w:r>
      <w:r>
        <w:t xml:space="preserve"> (fig. 6).</w:t>
      </w:r>
    </w:p>
    <w:p w:rsidR="00A17C4F" w:rsidRDefault="00A17C4F" w:rsidP="00A17C4F">
      <w:pPr>
        <w:jc w:val="both"/>
      </w:pPr>
      <w:r>
        <w:t> </w:t>
      </w:r>
    </w:p>
    <w:p w:rsidR="00A17C4F" w:rsidRDefault="008A0217" w:rsidP="00A17C4F">
      <w:pPr>
        <w:jc w:val="center"/>
      </w:pPr>
      <w:r>
        <w:rPr>
          <w:noProof/>
        </w:rPr>
        <w:lastRenderedPageBreak/>
        <w:drawing>
          <wp:inline distT="0" distB="0" distL="0" distR="0">
            <wp:extent cx="4895850" cy="3105150"/>
            <wp:effectExtent l="19050" t="0" r="0" b="0"/>
            <wp:docPr id="4" name="Immagine 4" descr="fi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center"/>
      </w:pPr>
      <w:r>
        <w:t>Figura 4</w:t>
      </w:r>
    </w:p>
    <w:p w:rsidR="00A17C4F" w:rsidRDefault="00A17C4F" w:rsidP="00A17C4F">
      <w:pPr>
        <w:jc w:val="center"/>
      </w:pPr>
    </w:p>
    <w:p w:rsidR="00A17C4F" w:rsidRDefault="008A0217" w:rsidP="00A17C4F">
      <w:pPr>
        <w:jc w:val="center"/>
      </w:pPr>
      <w:r>
        <w:rPr>
          <w:noProof/>
        </w:rPr>
        <w:drawing>
          <wp:inline distT="0" distB="0" distL="0" distR="0">
            <wp:extent cx="4391025" cy="3695700"/>
            <wp:effectExtent l="19050" t="0" r="9525" b="0"/>
            <wp:docPr id="5" name="Immagine 5" descr="fi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g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center"/>
      </w:pPr>
      <w:r>
        <w:t>Figura 5</w:t>
      </w:r>
    </w:p>
    <w:p w:rsidR="00A17C4F" w:rsidRDefault="00A17C4F" w:rsidP="00A17C4F">
      <w:pPr>
        <w:jc w:val="center"/>
      </w:pPr>
    </w:p>
    <w:p w:rsidR="00A17C4F" w:rsidRDefault="008A0217" w:rsidP="00A17C4F">
      <w:pPr>
        <w:jc w:val="center"/>
      </w:pPr>
      <w:r>
        <w:rPr>
          <w:noProof/>
        </w:rPr>
        <w:lastRenderedPageBreak/>
        <w:drawing>
          <wp:inline distT="0" distB="0" distL="0" distR="0">
            <wp:extent cx="4171950" cy="3524250"/>
            <wp:effectExtent l="19050" t="0" r="0" b="0"/>
            <wp:docPr id="6" name="Immagine 6" descr="fi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g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center"/>
      </w:pPr>
      <w:r>
        <w:t>Figura 6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  <w:r>
        <w:t xml:space="preserve">Per rendere maggiormente leggibile il grafico si può aggiungere una legenda (seguire la sequenza dei menù </w:t>
      </w:r>
      <w:r>
        <w:rPr>
          <w:i/>
          <w:iCs/>
        </w:rPr>
        <w:t>Grafico</w:t>
      </w:r>
      <w:r>
        <w:t xml:space="preserve"> - </w:t>
      </w:r>
      <w:r>
        <w:rPr>
          <w:i/>
          <w:iCs/>
        </w:rPr>
        <w:t>Opzioni grafico</w:t>
      </w:r>
      <w:r>
        <w:t xml:space="preserve"> - </w:t>
      </w:r>
      <w:r>
        <w:rPr>
          <w:i/>
          <w:iCs/>
        </w:rPr>
        <w:t>Legenda</w:t>
      </w:r>
      <w:r>
        <w:t>) e si possono modificare i simboli e i colori dei vari punti (in particolare quelli che rappresentano la mediana, affinché risultino ben evidenziati).</w:t>
      </w:r>
    </w:p>
    <w:p w:rsidR="00A17C4F" w:rsidRDefault="00A17C4F" w:rsidP="00A17C4F">
      <w:pPr>
        <w:jc w:val="both"/>
      </w:pPr>
      <w:r>
        <w:t>Il risultato finale è visibile in fig. 7.</w:t>
      </w:r>
    </w:p>
    <w:p w:rsidR="00A17C4F" w:rsidRDefault="00A17C4F" w:rsidP="00A17C4F">
      <w:pPr>
        <w:jc w:val="both"/>
      </w:pPr>
    </w:p>
    <w:p w:rsidR="00A17C4F" w:rsidRDefault="00A17C4F" w:rsidP="00A17C4F"/>
    <w:p w:rsidR="00A17C4F" w:rsidRDefault="008A0217" w:rsidP="00A17C4F">
      <w:pPr>
        <w:jc w:val="center"/>
      </w:pPr>
      <w:r>
        <w:rPr>
          <w:noProof/>
        </w:rPr>
        <w:drawing>
          <wp:inline distT="0" distB="0" distL="0" distR="0">
            <wp:extent cx="5600700" cy="3438525"/>
            <wp:effectExtent l="19050" t="0" r="0" b="0"/>
            <wp:docPr id="7" name="Immagine 7" descr="fi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g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center"/>
      </w:pPr>
      <w:r>
        <w:t>Figura 7</w:t>
      </w:r>
    </w:p>
    <w:p w:rsidR="00A17C4F" w:rsidRDefault="00A17C4F" w:rsidP="00A17C4F">
      <w:pPr>
        <w:jc w:val="center"/>
      </w:pPr>
    </w:p>
    <w:p w:rsidR="00A17C4F" w:rsidRDefault="00A17C4F" w:rsidP="00A17C4F">
      <w:pPr>
        <w:jc w:val="both"/>
      </w:pPr>
      <w:r>
        <w:lastRenderedPageBreak/>
        <w:t xml:space="preserve">Il foglio Excel riportato in fig. 7 e questa guida sono disponibili per il </w:t>
      </w:r>
      <w:hyperlink r:id="rId13" w:history="1">
        <w:r>
          <w:rPr>
            <w:rStyle w:val="Collegamentoipertestuale"/>
          </w:rPr>
          <w:t>download</w:t>
        </w:r>
      </w:hyperlink>
      <w:r>
        <w:t>.</w:t>
      </w:r>
    </w:p>
    <w:p w:rsidR="00A17C4F" w:rsidRDefault="00A17C4F" w:rsidP="00A17C4F">
      <w:pPr>
        <w:jc w:val="both"/>
      </w:pPr>
    </w:p>
    <w:p w:rsidR="00A17C4F" w:rsidRDefault="00A17C4F" w:rsidP="00A17C4F">
      <w:pPr>
        <w:jc w:val="both"/>
      </w:pPr>
    </w:p>
    <w:p w:rsidR="00A17C4F" w:rsidRDefault="00A17C4F" w:rsidP="00A17C4F">
      <w:pPr>
        <w:jc w:val="center"/>
      </w:pPr>
    </w:p>
    <w:p w:rsidR="00A17C4F" w:rsidRPr="00A17C4F" w:rsidRDefault="00A17C4F" w:rsidP="00A17C4F">
      <w:pPr>
        <w:pStyle w:val="Titolo3"/>
        <w:rPr>
          <w:lang w:val="en-GB"/>
        </w:rPr>
      </w:pPr>
      <w:r w:rsidRPr="00A17C4F">
        <w:rPr>
          <w:lang w:val="en-GB"/>
        </w:rPr>
        <w:t>Riferimenti bibliografici</w:t>
      </w:r>
    </w:p>
    <w:p w:rsidR="00A17C4F" w:rsidRPr="00A17C4F" w:rsidRDefault="00A17C4F" w:rsidP="00A17C4F">
      <w:pPr>
        <w:jc w:val="both"/>
        <w:rPr>
          <w:lang w:val="en-GB"/>
        </w:rPr>
      </w:pPr>
    </w:p>
    <w:p w:rsidR="00A17C4F" w:rsidRDefault="00A17C4F" w:rsidP="00A17C4F">
      <w:pPr>
        <w:ind w:left="900" w:hanging="900"/>
        <w:jc w:val="both"/>
        <w:rPr>
          <w:lang w:val="en-GB"/>
        </w:rPr>
      </w:pPr>
      <w:r>
        <w:rPr>
          <w:lang w:val="en-GB"/>
        </w:rPr>
        <w:t xml:space="preserve">Carr R., (2000), </w:t>
      </w:r>
      <w:r>
        <w:rPr>
          <w:i/>
          <w:iCs/>
          <w:lang w:val="en-GB"/>
        </w:rPr>
        <w:t>Home page</w:t>
      </w:r>
      <w:r>
        <w:rPr>
          <w:lang w:val="en-GB"/>
        </w:rPr>
        <w:t xml:space="preserve">, </w:t>
      </w:r>
      <w:hyperlink r:id="rId14" w:history="1">
        <w:r>
          <w:rPr>
            <w:rStyle w:val="Collegamentoipertestuale"/>
            <w:lang w:val="en-GB"/>
          </w:rPr>
          <w:t>http://www.man.deakin.edu.au/rodneyc/</w:t>
        </w:r>
      </w:hyperlink>
      <w:r>
        <w:rPr>
          <w:lang w:val="en-GB"/>
        </w:rPr>
        <w:t xml:space="preserve">, </w:t>
      </w:r>
      <w:smartTag w:uri="urn:schemas-microsoft-com:office:smarttags" w:element="PlaceType">
        <w:r>
          <w:rPr>
            <w:lang w:val="en-GB"/>
          </w:rPr>
          <w:t>School</w:t>
        </w:r>
      </w:smartTag>
      <w:r>
        <w:rPr>
          <w:lang w:val="en-GB"/>
        </w:rPr>
        <w:t xml:space="preserve"> of </w:t>
      </w:r>
      <w:smartTag w:uri="urn:schemas-microsoft-com:office:smarttags" w:element="PlaceName">
        <w:r>
          <w:rPr>
            <w:lang w:val="en-GB"/>
          </w:rPr>
          <w:t>Management Information Systems</w:t>
        </w:r>
      </w:smartTag>
      <w:r>
        <w:rPr>
          <w:lang w:val="en-GB"/>
        </w:rPr>
        <w:t xml:space="preserve">, Faculty of Business &amp; Law, </w:t>
      </w:r>
      <w:smartTag w:uri="urn:schemas-microsoft-com:office:smarttags" w:element="PlaceName">
        <w:r>
          <w:rPr>
            <w:lang w:val="en-GB"/>
          </w:rPr>
          <w:t>Deakin</w:t>
        </w:r>
      </w:smartTag>
      <w:r>
        <w:rPr>
          <w:lang w:val="en-GB"/>
        </w:rPr>
        <w:t xml:space="preserve"> </w:t>
      </w:r>
      <w:smartTag w:uri="urn:schemas-microsoft-com:office:smarttags" w:element="PlaceType">
        <w:r>
          <w:rPr>
            <w:lang w:val="en-GB"/>
          </w:rPr>
          <w:t>University</w:t>
        </w:r>
      </w:smartTag>
      <w:r>
        <w:rPr>
          <w:lang w:val="en-GB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val="en-GB"/>
            </w:rPr>
            <w:t>Warrnambool</w:t>
          </w:r>
        </w:smartTag>
        <w:r>
          <w:rPr>
            <w:lang w:val="en-GB"/>
          </w:rPr>
          <w:t xml:space="preserve">, </w:t>
        </w:r>
        <w:smartTag w:uri="urn:schemas-microsoft-com:office:smarttags" w:element="State">
          <w:r>
            <w:rPr>
              <w:lang w:val="en-GB"/>
            </w:rPr>
            <w:t>Victoria</w:t>
          </w:r>
        </w:smartTag>
        <w:r>
          <w:rPr>
            <w:lang w:val="en-GB"/>
          </w:rPr>
          <w:t xml:space="preserve">, </w:t>
        </w:r>
        <w:smartTag w:uri="urn:schemas-microsoft-com:office:smarttags" w:element="country-region">
          <w:r>
            <w:rPr>
              <w:lang w:val="en-GB"/>
            </w:rPr>
            <w:t>Australia</w:t>
          </w:r>
        </w:smartTag>
      </w:smartTag>
      <w:r>
        <w:rPr>
          <w:lang w:val="en-GB"/>
        </w:rPr>
        <w:t>.</w:t>
      </w:r>
    </w:p>
    <w:p w:rsidR="00A17C4F" w:rsidRDefault="00A17C4F" w:rsidP="00A17C4F">
      <w:pPr>
        <w:jc w:val="both"/>
        <w:rPr>
          <w:b/>
          <w:bCs/>
          <w:lang w:val="en-GB"/>
        </w:rPr>
      </w:pPr>
    </w:p>
    <w:p w:rsidR="00A17C4F" w:rsidRDefault="00A17C4F" w:rsidP="00A17C4F">
      <w:pPr>
        <w:ind w:left="900" w:hanging="900"/>
        <w:jc w:val="both"/>
        <w:rPr>
          <w:lang w:val="en-GB"/>
        </w:rPr>
      </w:pPr>
      <w:r>
        <w:rPr>
          <w:lang w:val="en-GB"/>
        </w:rPr>
        <w:t xml:space="preserve">Hunt N., (1996), </w:t>
      </w:r>
      <w:r>
        <w:rPr>
          <w:i/>
          <w:iCs/>
          <w:lang w:val="en-GB"/>
        </w:rPr>
        <w:t>Boxplots in Excel</w:t>
      </w:r>
      <w:r>
        <w:rPr>
          <w:lang w:val="en-GB"/>
        </w:rPr>
        <w:t xml:space="preserve">, </w:t>
      </w:r>
      <w:hyperlink r:id="rId15" w:history="1">
        <w:r>
          <w:rPr>
            <w:rStyle w:val="Collegamentoipertestuale"/>
            <w:lang w:val="en-GB"/>
          </w:rPr>
          <w:t>http://www.mis.coventry.ac.uk/~nhunt/boxplot.htm</w:t>
        </w:r>
      </w:hyperlink>
      <w:r>
        <w:rPr>
          <w:lang w:val="en-GB"/>
        </w:rPr>
        <w:t xml:space="preserve">,  </w:t>
      </w:r>
      <w:smartTag w:uri="urn:schemas-microsoft-com:office:smarttags" w:element="PlaceName">
        <w:r>
          <w:rPr>
            <w:lang w:val="en-GB"/>
          </w:rPr>
          <w:t>Coventry</w:t>
        </w:r>
      </w:smartTag>
      <w:r>
        <w:rPr>
          <w:lang w:val="en-GB"/>
        </w:rPr>
        <w:t xml:space="preserve"> </w:t>
      </w:r>
      <w:smartTag w:uri="urn:schemas-microsoft-com:office:smarttags" w:element="PlaceType">
        <w:r>
          <w:rPr>
            <w:lang w:val="en-GB"/>
          </w:rPr>
          <w:t>University</w:t>
        </w:r>
      </w:smartTag>
      <w:r>
        <w:rPr>
          <w:lang w:val="en-GB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val="en-GB"/>
            </w:rPr>
            <w:t>Coventry</w:t>
          </w:r>
        </w:smartTag>
        <w:r>
          <w:rPr>
            <w:lang w:val="en-GB"/>
          </w:rPr>
          <w:t xml:space="preserve">, </w:t>
        </w:r>
        <w:smartTag w:uri="urn:schemas-microsoft-com:office:smarttags" w:element="country-region">
          <w:r>
            <w:rPr>
              <w:lang w:val="en-GB"/>
            </w:rPr>
            <w:t>UK</w:t>
          </w:r>
        </w:smartTag>
      </w:smartTag>
      <w:r>
        <w:rPr>
          <w:lang w:val="en-GB"/>
        </w:rPr>
        <w:t>.</w:t>
      </w:r>
    </w:p>
    <w:p w:rsidR="00AD55DD" w:rsidRPr="00A17C4F" w:rsidRDefault="00AD55DD">
      <w:pPr>
        <w:rPr>
          <w:lang w:val="en-GB"/>
        </w:rPr>
      </w:pPr>
    </w:p>
    <w:sectPr w:rsidR="00AD55DD" w:rsidRPr="00A17C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14D0F"/>
    <w:multiLevelType w:val="hybridMultilevel"/>
    <w:tmpl w:val="F14C9F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283"/>
  <w:noPunctuationKerning/>
  <w:characterSpacingControl w:val="doNotCompress"/>
  <w:compat/>
  <w:rsids>
    <w:rsidRoot w:val="00A17C4F"/>
    <w:rsid w:val="0036410D"/>
    <w:rsid w:val="004F278F"/>
    <w:rsid w:val="00835D55"/>
    <w:rsid w:val="008A0217"/>
    <w:rsid w:val="009C6C90"/>
    <w:rsid w:val="00A17C4F"/>
    <w:rsid w:val="00AD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A17C4F"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qFormat/>
    <w:rsid w:val="00A17C4F"/>
    <w:pPr>
      <w:keepNext/>
      <w:jc w:val="both"/>
      <w:outlineLvl w:val="2"/>
    </w:pPr>
    <w:rPr>
      <w:b/>
      <w:bCs/>
      <w:sz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styleId="Collegamentoipertestuale">
    <w:name w:val="Hyperlink"/>
    <w:basedOn w:val="Carpredefinitoparagrafo"/>
    <w:rsid w:val="00A17C4F"/>
    <w:rPr>
      <w:color w:val="0000FF"/>
      <w:u w:val="single"/>
    </w:rPr>
  </w:style>
  <w:style w:type="paragraph" w:styleId="Corpodeltesto">
    <w:name w:val="Body Text"/>
    <w:basedOn w:val="Normale"/>
    <w:rsid w:val="00A17C4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cirdis.stat.unipg.it/files/Sperimentazione/Box-Plot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mis.coventry.ac.uk/~nhunt/boxplot.htm" TargetMode="External"/><Relationship Id="rId15" Type="http://schemas.openxmlformats.org/officeDocument/2006/relationships/hyperlink" Target="http://www.mis.coventry.ac.uk/~nhunt/boxplot.ht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man.deakin.edu.au/rodneyc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Box-Plot in Excel</vt:lpstr>
    </vt:vector>
  </TitlesOfParts>
  <Company>Baruzzo</Company>
  <LinksUpToDate>false</LinksUpToDate>
  <CharactersWithSpaces>3631</CharactersWithSpaces>
  <SharedDoc>false</SharedDoc>
  <HLinks>
    <vt:vector size="24" baseType="variant">
      <vt:variant>
        <vt:i4>4390985</vt:i4>
      </vt:variant>
      <vt:variant>
        <vt:i4>9</vt:i4>
      </vt:variant>
      <vt:variant>
        <vt:i4>0</vt:i4>
      </vt:variant>
      <vt:variant>
        <vt:i4>5</vt:i4>
      </vt:variant>
      <vt:variant>
        <vt:lpwstr>http://www.mis.coventry.ac.uk/~nhunt/boxplot.htm</vt:lpwstr>
      </vt:variant>
      <vt:variant>
        <vt:lpwstr/>
      </vt:variant>
      <vt:variant>
        <vt:i4>4522073</vt:i4>
      </vt:variant>
      <vt:variant>
        <vt:i4>6</vt:i4>
      </vt:variant>
      <vt:variant>
        <vt:i4>0</vt:i4>
      </vt:variant>
      <vt:variant>
        <vt:i4>5</vt:i4>
      </vt:variant>
      <vt:variant>
        <vt:lpwstr>http://www.man.deakin.edu.au/rodneyc/</vt:lpwstr>
      </vt:variant>
      <vt:variant>
        <vt:lpwstr/>
      </vt:variant>
      <vt:variant>
        <vt:i4>8060970</vt:i4>
      </vt:variant>
      <vt:variant>
        <vt:i4>3</vt:i4>
      </vt:variant>
      <vt:variant>
        <vt:i4>0</vt:i4>
      </vt:variant>
      <vt:variant>
        <vt:i4>5</vt:i4>
      </vt:variant>
      <vt:variant>
        <vt:lpwstr>http://cirdis.stat.unipg.it/files/Sperimentazione/Box-Plot.zip</vt:lpwstr>
      </vt:variant>
      <vt:variant>
        <vt:lpwstr/>
      </vt:variant>
      <vt:variant>
        <vt:i4>4390985</vt:i4>
      </vt:variant>
      <vt:variant>
        <vt:i4>0</vt:i4>
      </vt:variant>
      <vt:variant>
        <vt:i4>0</vt:i4>
      </vt:variant>
      <vt:variant>
        <vt:i4>5</vt:i4>
      </vt:variant>
      <vt:variant>
        <vt:lpwstr>http://www.mis.coventry.ac.uk/~nhunt/boxplot.htm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Box-Plot in Excel</dc:title>
  <dc:creator>Baruzzo</dc:creator>
  <cp:lastModifiedBy>Massimiliano Naldini</cp:lastModifiedBy>
  <cp:revision>2</cp:revision>
  <dcterms:created xsi:type="dcterms:W3CDTF">2015-04-01T14:55:00Z</dcterms:created>
  <dcterms:modified xsi:type="dcterms:W3CDTF">2015-04-01T14:55:00Z</dcterms:modified>
</cp:coreProperties>
</file>